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5A" w:rsidRPr="002C7DB0" w:rsidRDefault="002C7DB0" w:rsidP="002C7D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DB0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 w:rsidRPr="002C7DB0">
        <w:rPr>
          <w:rFonts w:ascii="Times New Roman" w:hAnsi="Times New Roman" w:cs="Times New Roman"/>
          <w:b/>
          <w:sz w:val="26"/>
          <w:szCs w:val="26"/>
        </w:rPr>
        <w:t>Безенчукского</w:t>
      </w:r>
      <w:proofErr w:type="spellEnd"/>
      <w:r w:rsidRPr="002C7DB0">
        <w:rPr>
          <w:rFonts w:ascii="Times New Roman" w:hAnsi="Times New Roman" w:cs="Times New Roman"/>
          <w:b/>
          <w:sz w:val="26"/>
          <w:szCs w:val="26"/>
        </w:rPr>
        <w:t xml:space="preserve"> района разъясняет. </w:t>
      </w:r>
    </w:p>
    <w:p w:rsidR="00F56275" w:rsidRPr="00F56275" w:rsidRDefault="00F56275" w:rsidP="00F5627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6275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привлечения к уголовной ответственности за преступные посягательства в сфере оборота </w:t>
      </w:r>
      <w:proofErr w:type="spellStart"/>
      <w:r w:rsidRPr="00F56275">
        <w:rPr>
          <w:rFonts w:ascii="Times New Roman" w:hAnsi="Times New Roman" w:cs="Times New Roman"/>
          <w:b/>
          <w:bCs/>
          <w:sz w:val="26"/>
          <w:szCs w:val="26"/>
        </w:rPr>
        <w:t>криптовалюты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A1132" w:rsidRPr="00E35FD8" w:rsidRDefault="004A1132" w:rsidP="00E35FD8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имеют имущественный характер и являются имуществом в смысле ст. 128 Гражданского кодекса Российской Федерации. С учетом положений ст. 141.1 Гражданского кодекса Российской Федерации («Цифровые права»)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также могут быть отнесены к новому самостоятельному объекту гражданских прав – цифровым правам.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Глава 28 Уголовного кодекса Российской Федерации (далее – УК РФ) содержит нормы, предусматривающие уголовную ответственность за преступления в области компьютерной </w:t>
      </w:r>
      <w:proofErr w:type="spellStart"/>
      <w:proofErr w:type="gramStart"/>
      <w:r w:rsidRPr="00F56275">
        <w:rPr>
          <w:rFonts w:ascii="Times New Roman" w:hAnsi="Times New Roman" w:cs="Times New Roman"/>
          <w:sz w:val="26"/>
          <w:szCs w:val="26"/>
        </w:rPr>
        <w:t>информации.В</w:t>
      </w:r>
      <w:proofErr w:type="spellEnd"/>
      <w:proofErr w:type="gramEnd"/>
      <w:r w:rsidRPr="00F56275">
        <w:rPr>
          <w:rFonts w:ascii="Times New Roman" w:hAnsi="Times New Roman" w:cs="Times New Roman"/>
          <w:sz w:val="26"/>
          <w:szCs w:val="26"/>
        </w:rPr>
        <w:t xml:space="preserve"> свете общности признаков дополнительных объектов посягательств и способов их совершения преступления в сфере оборота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достаточно близки по природе к неправомерным действиям в сфере компьютерной информации, но при этом имеют ряд исключительных особенностей.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При квалификации компьютерных преступлений, совершаемых в сфере оборота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, основным непосредственным объектом будут являться именно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криптовалюта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криптовалютные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отношения, а посягательство на нормальное функционирование компьютерной информации будет выступать в качестве дополнительного объекта.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Рассматривая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криптовалюту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как предмет преступления, совершаемого в сфере компьютерной информации, следует отметить, что формально она соответствует указанному в УК РФ определению компьютерной информации. Без компьютерных мощностей, средств хранения и обработки данных на основе специальной распределенной сети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криптовалюта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не существует.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Модель классического компьютерного преступления – это хищение денежных средств или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с электронных кошельков пользователей посредством модификации компьютерной информации, и квалифицируются такие деяния по ст. 272 и 273 УК РФ либо в совокупности с нормами о мошенничестве.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Так, в преступлениях против собственности предметом может быть признано имущество или право на имущество. Учитывая признание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цифровым финансовым активом, факты хищения виртуальной валюты могут образовывать признаки состава мошенничества в сфере компьютерной информации (ст. 159.6 УК РФ). В данном случае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криптовалюта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одновременно будет выполнять функцию предмета преступления и средства его совершения, поскольку она обладает свойствами права на имущество и является компьютерной информацией, путем ввода, удаления, блокирования или модификации которой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происходит хищение. Учитывая, что в силу примечания 1 к ст. 272 УК РФ под компьютерной информацией понимаются сведения (сообщения, данные), представленные в форме электрических сигналов, независимо от средств их </w:t>
      </w:r>
      <w:r w:rsidRPr="00F56275">
        <w:rPr>
          <w:rFonts w:ascii="Times New Roman" w:hAnsi="Times New Roman" w:cs="Times New Roman"/>
          <w:sz w:val="26"/>
          <w:szCs w:val="26"/>
        </w:rPr>
        <w:lastRenderedPageBreak/>
        <w:t>хранения, обработки и передачи. Виртуальная валюта в полной мере отвечает данным требованиям.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криптовалюта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 в подобных ситуациях может выступать предметом не только мошенничества в сфере компьютерной информации, но и соответствующих преступлений в сфере компьютерной информации. Это подтверждается п. 20 постановления Пленума Верховного Суда Российской Федерации от 30.11.2017 № 48 «О судебной практике по делам о мошенничестве, присвоении и растрате», согласно которому мошенничество в сфере компьютерной информации, совершенное посредством неправомерного доступа к компьютерной информации или посредством создания, использования и распространения вредоносных компьютерных программ, требует дополнительной квалификации по ст. 272, 273 или 274.1 УК РФ.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 xml:space="preserve">Использование вредоносных программ, позволяющих копировать данные клиентов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криптобирж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 xml:space="preserve">, могут быть квалифицированы по ст. 273 УК РФ, однако опять же при такой квалификации не учитывается, что основная цель злоумышленников и, соответственно, более тяжкое деяние – это именно вымогательство денежных средств или 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>. При этом подобные деяния согласно российскому законодательству квалифицировать по ст. 163 УК РФ как вымогательство нельзя, поскольку угроза уничтожения компьютерных систем или компьютерной информации не является признаком состава данного преступления.</w:t>
      </w:r>
    </w:p>
    <w:p w:rsidR="00F56275" w:rsidRPr="00F56275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7DB0" w:rsidRPr="002C7DB0" w:rsidRDefault="00F56275" w:rsidP="00F56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275">
        <w:rPr>
          <w:rFonts w:ascii="Times New Roman" w:hAnsi="Times New Roman" w:cs="Times New Roman"/>
          <w:sz w:val="26"/>
          <w:szCs w:val="26"/>
        </w:rPr>
        <w:t>Кроме того, согласно постановлению Пленума Верховного Суда Российской Федерации от 07.07.2015 № 32 «О судеб</w:t>
      </w:r>
      <w:bookmarkStart w:id="0" w:name="_GoBack"/>
      <w:bookmarkEnd w:id="0"/>
      <w:r w:rsidRPr="00F56275">
        <w:rPr>
          <w:rFonts w:ascii="Times New Roman" w:hAnsi="Times New Roman" w:cs="Times New Roman"/>
          <w:sz w:val="26"/>
          <w:szCs w:val="26"/>
        </w:rPr>
        <w:t>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 предметом преступлений, предусмотренных ст. 174 и 174.1 УК РФ, могут выступать, в том числе денежные средства, преобразованные из виртуальных активов (</w:t>
      </w:r>
      <w:proofErr w:type="spellStart"/>
      <w:r w:rsidRPr="00F56275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56275">
        <w:rPr>
          <w:rFonts w:ascii="Times New Roman" w:hAnsi="Times New Roman" w:cs="Times New Roman"/>
          <w:sz w:val="26"/>
          <w:szCs w:val="26"/>
        </w:rPr>
        <w:t>), приобретенных в результате совершения преступления. При отсутствии информации о фактической стоимости предмета преступления она может определяться на основании заключения специалиста или эксперта.</w:t>
      </w:r>
    </w:p>
    <w:sectPr w:rsidR="002C7DB0" w:rsidRPr="002C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F6"/>
    <w:rsid w:val="0000404C"/>
    <w:rsid w:val="00042C4A"/>
    <w:rsid w:val="0006588E"/>
    <w:rsid w:val="000C4C22"/>
    <w:rsid w:val="00220BF6"/>
    <w:rsid w:val="002575F9"/>
    <w:rsid w:val="002C7DB0"/>
    <w:rsid w:val="0038503B"/>
    <w:rsid w:val="00493734"/>
    <w:rsid w:val="004A1132"/>
    <w:rsid w:val="00522F93"/>
    <w:rsid w:val="00566144"/>
    <w:rsid w:val="005A672A"/>
    <w:rsid w:val="00632B68"/>
    <w:rsid w:val="006F0A15"/>
    <w:rsid w:val="007403C7"/>
    <w:rsid w:val="00785BD1"/>
    <w:rsid w:val="008F6ECE"/>
    <w:rsid w:val="00924608"/>
    <w:rsid w:val="00AE0787"/>
    <w:rsid w:val="00B5547B"/>
    <w:rsid w:val="00CC0C48"/>
    <w:rsid w:val="00D5354A"/>
    <w:rsid w:val="00DC115A"/>
    <w:rsid w:val="00E35FD8"/>
    <w:rsid w:val="00F25803"/>
    <w:rsid w:val="00F56275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1809"/>
  <w15:chartTrackingRefBased/>
  <w15:docId w15:val="{E112DCEA-D04E-4810-837E-282A968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Владислав</dc:creator>
  <cp:keywords/>
  <dc:description/>
  <cp:lastModifiedBy>Владислав Владислав</cp:lastModifiedBy>
  <cp:revision>3</cp:revision>
  <dcterms:created xsi:type="dcterms:W3CDTF">2023-05-28T15:50:00Z</dcterms:created>
  <dcterms:modified xsi:type="dcterms:W3CDTF">2023-05-28T15:52:00Z</dcterms:modified>
</cp:coreProperties>
</file>