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63" w:rsidRDefault="009A3329" w:rsidP="009A3329">
      <w:pPr>
        <w:jc w:val="center"/>
        <w:rPr>
          <w:rFonts w:ascii="Times New Roman" w:eastAsia="Times New Roman" w:hAnsi="Times New Roman"/>
          <w:b/>
          <w:sz w:val="28"/>
          <w:szCs w:val="28"/>
          <w:lang w:eastAsia="ru-RU"/>
        </w:rPr>
      </w:pPr>
      <w:bookmarkStart w:id="0" w:name="_GoBack"/>
      <w:bookmarkEnd w:id="0"/>
      <w:r w:rsidRPr="009A3329">
        <w:rPr>
          <w:rFonts w:ascii="Times New Roman" w:eastAsia="Times New Roman" w:hAnsi="Times New Roman"/>
          <w:b/>
          <w:sz w:val="28"/>
          <w:szCs w:val="28"/>
        </w:rPr>
        <w:t xml:space="preserve">Реестр осуществляющих деятельность на территории </w:t>
      </w:r>
      <w:r w:rsidR="00115063">
        <w:rPr>
          <w:rFonts w:ascii="Times New Roman" w:eastAsia="Times New Roman" w:hAnsi="Times New Roman"/>
          <w:b/>
          <w:sz w:val="28"/>
          <w:szCs w:val="28"/>
        </w:rPr>
        <w:t xml:space="preserve">муниципального района Безенчукский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r w:rsidR="00115063">
        <w:rPr>
          <w:rFonts w:ascii="Times New Roman" w:eastAsia="Times New Roman" w:hAnsi="Times New Roman"/>
          <w:b/>
          <w:sz w:val="28"/>
          <w:szCs w:val="28"/>
        </w:rPr>
        <w:t xml:space="preserve"> </w:t>
      </w:r>
      <w:r w:rsidRPr="009A3329">
        <w:rPr>
          <w:rFonts w:ascii="Times New Roman" w:eastAsia="Times New Roman" w:hAnsi="Times New Roman"/>
          <w:b/>
          <w:sz w:val="28"/>
          <w:szCs w:val="28"/>
        </w:rPr>
        <w:t xml:space="preserve"> </w:t>
      </w:r>
      <w:r w:rsidR="006A785B">
        <w:rPr>
          <w:rFonts w:ascii="Times New Roman" w:eastAsia="Times New Roman" w:hAnsi="Times New Roman"/>
          <w:b/>
          <w:sz w:val="28"/>
          <w:szCs w:val="28"/>
          <w:lang w:eastAsia="ru-RU"/>
        </w:rPr>
        <w:t xml:space="preserve">с долей </w:t>
      </w:r>
      <w:r w:rsidRPr="009A3329">
        <w:rPr>
          <w:rFonts w:ascii="Times New Roman" w:eastAsia="Times New Roman" w:hAnsi="Times New Roman"/>
          <w:b/>
          <w:sz w:val="28"/>
          <w:szCs w:val="28"/>
          <w:lang w:eastAsia="ru-RU"/>
        </w:rPr>
        <w:t xml:space="preserve">муниципального участия 50 и более процентов </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lang w:eastAsia="ru-RU"/>
        </w:rPr>
        <w:t>(по состоянию на 01.01.202</w:t>
      </w:r>
      <w:r w:rsidR="004C2A1B">
        <w:rPr>
          <w:rFonts w:ascii="Times New Roman" w:eastAsia="Times New Roman" w:hAnsi="Times New Roman"/>
          <w:b/>
          <w:sz w:val="28"/>
          <w:szCs w:val="28"/>
          <w:lang w:eastAsia="ru-RU"/>
        </w:rPr>
        <w:t>1</w:t>
      </w:r>
      <w:r w:rsidRPr="009A3329">
        <w:rPr>
          <w:rFonts w:ascii="Times New Roman" w:eastAsia="Times New Roman" w:hAnsi="Times New Roman"/>
          <w:b/>
          <w:sz w:val="28"/>
          <w:szCs w:val="28"/>
          <w:lang w:eastAsia="ru-RU"/>
        </w:rPr>
        <w:t>)</w:t>
      </w:r>
    </w:p>
    <w:p w:rsidR="009A3329" w:rsidRPr="009A3329" w:rsidRDefault="009A3329" w:rsidP="009A3329">
      <w:pPr>
        <w:jc w:val="center"/>
        <w:rPr>
          <w:rFonts w:ascii="Times New Roman" w:eastAsia="Times New Roman" w:hAnsi="Times New Roman"/>
          <w:b/>
          <w:sz w:val="28"/>
          <w:szCs w:val="28"/>
          <w:lang w:eastAsia="ru-RU"/>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3215"/>
        <w:gridCol w:w="1276"/>
        <w:gridCol w:w="3685"/>
        <w:gridCol w:w="1701"/>
        <w:gridCol w:w="1701"/>
        <w:gridCol w:w="1560"/>
        <w:gridCol w:w="1984"/>
      </w:tblGrid>
      <w:tr w:rsidR="009A3329" w:rsidRPr="009A3329" w:rsidTr="00201186">
        <w:trPr>
          <w:trHeight w:val="545"/>
          <w:jc w:val="center"/>
        </w:trPr>
        <w:tc>
          <w:tcPr>
            <w:tcW w:w="437" w:type="dxa"/>
            <w:vMerge w:val="restart"/>
            <w:shd w:val="clear" w:color="auto" w:fill="auto"/>
            <w:noWrap/>
            <w:hideMark/>
          </w:tcPr>
          <w:p w:rsidR="009A3329" w:rsidRPr="009A3329" w:rsidRDefault="009A3329" w:rsidP="009A3329">
            <w:pPr>
              <w:ind w:firstLine="0"/>
              <w:jc w:val="center"/>
              <w:rPr>
                <w:rFonts w:ascii="Times New Roman" w:eastAsia="Times New Roman" w:hAnsi="Times New Roman"/>
                <w:bCs/>
                <w:color w:val="000000"/>
                <w:sz w:val="24"/>
                <w:szCs w:val="24"/>
                <w:lang w:eastAsia="ru-RU"/>
              </w:rPr>
            </w:pPr>
            <w:r w:rsidRPr="009A3329">
              <w:rPr>
                <w:rFonts w:ascii="Times New Roman" w:eastAsia="Times New Roman" w:hAnsi="Times New Roman"/>
                <w:bCs/>
                <w:color w:val="000000"/>
                <w:sz w:val="24"/>
                <w:szCs w:val="24"/>
                <w:lang w:eastAsia="ru-RU"/>
              </w:rPr>
              <w:t>№</w:t>
            </w:r>
          </w:p>
        </w:tc>
        <w:tc>
          <w:tcPr>
            <w:tcW w:w="321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хозяйствующего субъекта</w:t>
            </w:r>
          </w:p>
        </w:tc>
        <w:tc>
          <w:tcPr>
            <w:tcW w:w="1276" w:type="dxa"/>
            <w:vMerge w:val="restart"/>
            <w:shd w:val="clear" w:color="auto" w:fill="auto"/>
            <w:hideMark/>
          </w:tcPr>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Доля участия государства</w:t>
            </w:r>
          </w:p>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 xml:space="preserve"> в субъекте, %</w:t>
            </w:r>
          </w:p>
        </w:tc>
        <w:tc>
          <w:tcPr>
            <w:tcW w:w="368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рынка присутствия хозяйствующего субъекта</w:t>
            </w:r>
          </w:p>
        </w:tc>
        <w:tc>
          <w:tcPr>
            <w:tcW w:w="1701" w:type="dxa"/>
            <w:vMerge w:val="restart"/>
          </w:tcPr>
          <w:p w:rsidR="009A3329" w:rsidRPr="009A3329" w:rsidRDefault="009A3329" w:rsidP="009A3329">
            <w:pPr>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Географические границы рынка</w:t>
            </w:r>
          </w:p>
        </w:tc>
        <w:tc>
          <w:tcPr>
            <w:tcW w:w="3261" w:type="dxa"/>
            <w:gridSpan w:val="2"/>
            <w:shd w:val="clear" w:color="auto" w:fill="auto"/>
            <w:hideMark/>
          </w:tcPr>
          <w:p w:rsidR="009A3329" w:rsidRPr="009A3329" w:rsidRDefault="009A3329" w:rsidP="009A3329">
            <w:pPr>
              <w:widowControl w:val="0"/>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Рыночная доля хозяйствующего  субъекта на рынке</w:t>
            </w:r>
          </w:p>
        </w:tc>
        <w:tc>
          <w:tcPr>
            <w:tcW w:w="1984" w:type="dxa"/>
            <w:vMerge w:val="restart"/>
            <w:shd w:val="clear" w:color="auto" w:fill="auto"/>
            <w:hideMark/>
          </w:tcPr>
          <w:p w:rsidR="009A3329" w:rsidRPr="009A3329" w:rsidRDefault="009A3329" w:rsidP="009A3329">
            <w:pPr>
              <w:ind w:left="-102"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Суммарный объем государственного финансирования субъекта, руб.</w:t>
            </w:r>
          </w:p>
        </w:tc>
      </w:tr>
      <w:tr w:rsidR="009A3329" w:rsidRPr="009A3329" w:rsidTr="00201186">
        <w:trPr>
          <w:trHeight w:val="709"/>
          <w:jc w:val="center"/>
        </w:trPr>
        <w:tc>
          <w:tcPr>
            <w:tcW w:w="437" w:type="dxa"/>
            <w:vMerge/>
            <w:shd w:val="clear" w:color="auto" w:fill="auto"/>
            <w:noWrap/>
          </w:tcPr>
          <w:p w:rsidR="009A3329" w:rsidRPr="009A3329" w:rsidRDefault="009A3329" w:rsidP="009A3329">
            <w:pPr>
              <w:ind w:firstLine="0"/>
              <w:jc w:val="center"/>
              <w:rPr>
                <w:rFonts w:ascii="Times New Roman" w:eastAsia="Times New Roman" w:hAnsi="Times New Roman"/>
                <w:bCs/>
                <w:color w:val="000000"/>
                <w:sz w:val="24"/>
                <w:szCs w:val="24"/>
                <w:lang w:eastAsia="ru-RU"/>
              </w:rPr>
            </w:pPr>
          </w:p>
        </w:tc>
        <w:tc>
          <w:tcPr>
            <w:tcW w:w="321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276"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368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vMerge/>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shd w:val="clear" w:color="auto" w:fill="auto"/>
            <w:vAlign w:val="center"/>
          </w:tcPr>
          <w:p w:rsidR="009A3329" w:rsidRPr="009A3329" w:rsidRDefault="009A3329" w:rsidP="009A3329">
            <w:pPr>
              <w:widowControl w:val="0"/>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натуральном выражении, %</w:t>
            </w:r>
          </w:p>
        </w:tc>
        <w:tc>
          <w:tcPr>
            <w:tcW w:w="1560" w:type="dxa"/>
            <w:shd w:val="clear" w:color="auto" w:fill="auto"/>
            <w:vAlign w:val="center"/>
          </w:tcPr>
          <w:p w:rsidR="009A3329" w:rsidRPr="009A3329" w:rsidRDefault="009A3329" w:rsidP="009A3329">
            <w:pPr>
              <w:widowControl w:val="0"/>
              <w:ind w:left="-108" w:right="-114"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стоимостном выражении, %</w:t>
            </w:r>
          </w:p>
        </w:tc>
        <w:tc>
          <w:tcPr>
            <w:tcW w:w="1984"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r>
      <w:tr w:rsidR="006A785B" w:rsidRPr="009A3329" w:rsidTr="00201186">
        <w:trPr>
          <w:trHeight w:val="764"/>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115063"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«Водоканал»</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Забор, очистка и распределение воды; Сбор и обработка сточных вод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Безенчукский</w:t>
            </w:r>
          </w:p>
        </w:tc>
        <w:tc>
          <w:tcPr>
            <w:tcW w:w="1701" w:type="dxa"/>
            <w:tcBorders>
              <w:top w:val="single" w:sz="4" w:space="0" w:color="auto"/>
            </w:tcBorders>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23,2%</w:t>
            </w:r>
          </w:p>
        </w:tc>
        <w:tc>
          <w:tcPr>
            <w:tcW w:w="1560" w:type="dxa"/>
            <w:tcBorders>
              <w:top w:val="single" w:sz="4" w:space="0" w:color="auto"/>
            </w:tcBorders>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27,1%</w:t>
            </w:r>
          </w:p>
        </w:tc>
        <w:tc>
          <w:tcPr>
            <w:tcW w:w="1984" w:type="dxa"/>
            <w:shd w:val="clear" w:color="auto" w:fill="auto"/>
            <w:noWrap/>
          </w:tcPr>
          <w:p w:rsidR="006A785B" w:rsidRPr="009A3329" w:rsidRDefault="006A785B" w:rsidP="00D959AF">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w:t>
            </w:r>
            <w:r w:rsidR="00D959AF">
              <w:rPr>
                <w:rFonts w:ascii="Times New Roman" w:eastAsia="Times New Roman" w:hAnsi="Times New Roman"/>
                <w:color w:val="000000"/>
                <w:lang w:eastAsia="ru-RU"/>
              </w:rPr>
              <w:t>7 </w:t>
            </w:r>
            <w:r w:rsidRPr="009A3329">
              <w:rPr>
                <w:rFonts w:ascii="Times New Roman" w:eastAsia="Times New Roman" w:hAnsi="Times New Roman"/>
                <w:color w:val="000000"/>
                <w:lang w:eastAsia="ru-RU"/>
              </w:rPr>
              <w:t>2</w:t>
            </w:r>
            <w:r w:rsidR="00D959AF">
              <w:rPr>
                <w:rFonts w:ascii="Times New Roman" w:eastAsia="Times New Roman" w:hAnsi="Times New Roman"/>
                <w:color w:val="000000"/>
                <w:lang w:eastAsia="ru-RU"/>
              </w:rPr>
              <w:t>01 000</w:t>
            </w:r>
          </w:p>
        </w:tc>
      </w:tr>
      <w:tr w:rsidR="006A785B" w:rsidRPr="009A3329" w:rsidTr="00201186">
        <w:trPr>
          <w:trHeight w:val="845"/>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115063"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ЖКХ «Безенчук»</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Вывоз жидких бытовых отходов; вывоз ТКО; жилой фонд; </w:t>
            </w:r>
            <w:proofErr w:type="spellStart"/>
            <w:r w:rsidRPr="009A3329">
              <w:rPr>
                <w:rFonts w:ascii="Times New Roman" w:eastAsia="Times New Roman" w:hAnsi="Times New Roman"/>
                <w:color w:val="000000"/>
                <w:lang w:eastAsia="ru-RU"/>
              </w:rPr>
              <w:t>найм</w:t>
            </w:r>
            <w:proofErr w:type="spellEnd"/>
            <w:r w:rsidRPr="009A3329">
              <w:rPr>
                <w:rFonts w:ascii="Times New Roman" w:eastAsia="Times New Roman" w:hAnsi="Times New Roman"/>
                <w:color w:val="000000"/>
                <w:lang w:eastAsia="ru-RU"/>
              </w:rPr>
              <w:t xml:space="preserve"> жилья</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пгт</w:t>
            </w:r>
            <w:proofErr w:type="spellEnd"/>
            <w:r w:rsidRPr="009A3329">
              <w:rPr>
                <w:rFonts w:ascii="Times New Roman" w:eastAsia="Times New Roman" w:hAnsi="Times New Roman"/>
                <w:color w:val="000000"/>
                <w:lang w:eastAsia="ru-RU"/>
              </w:rPr>
              <w:t>. Безенчук м.р. Безенчукский</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790"/>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115063"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w:t>
            </w:r>
            <w:proofErr w:type="spellStart"/>
            <w:r w:rsidRPr="009A3329">
              <w:rPr>
                <w:rFonts w:ascii="Times New Roman" w:eastAsia="Times New Roman" w:hAnsi="Times New Roman"/>
                <w:color w:val="000000"/>
                <w:lang w:eastAsia="ru-RU"/>
              </w:rPr>
              <w:t>Водоканалсервис</w:t>
            </w:r>
            <w:proofErr w:type="spellEnd"/>
            <w:r w:rsidRPr="009A3329">
              <w:rPr>
                <w:rFonts w:ascii="Times New Roman" w:eastAsia="Times New Roman" w:hAnsi="Times New Roman"/>
                <w:color w:val="000000"/>
                <w:lang w:eastAsia="ru-RU"/>
              </w:rPr>
              <w:t>»</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Вывоз жидких бытовых отходов</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Безенчукский</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76,8%</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72,9%</w:t>
            </w:r>
          </w:p>
        </w:tc>
        <w:tc>
          <w:tcPr>
            <w:tcW w:w="1984" w:type="dxa"/>
            <w:tcBorders>
              <w:top w:val="single" w:sz="4" w:space="0" w:color="auto"/>
              <w:left w:val="single" w:sz="4" w:space="0" w:color="auto"/>
              <w:bottom w:val="single" w:sz="4" w:space="0" w:color="auto"/>
              <w:right w:val="single" w:sz="4" w:space="0" w:color="auto"/>
            </w:tcBorders>
            <w:noWrap/>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6 900 000,0</w:t>
            </w:r>
          </w:p>
        </w:tc>
      </w:tr>
      <w:tr w:rsidR="006A785B" w:rsidRPr="009A3329" w:rsidTr="009A3329">
        <w:trPr>
          <w:trHeight w:val="703"/>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115063"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редакция газеты «Сельский труженик»</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Издание газеты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Безенчукский</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6A785B" w:rsidRPr="009A3329" w:rsidRDefault="00D959AF" w:rsidP="00D959AF">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13900</w:t>
            </w:r>
            <w:r w:rsidR="006A785B" w:rsidRPr="009A3329">
              <w:rPr>
                <w:rFonts w:ascii="Times New Roman" w:eastAsia="Times New Roman" w:hAnsi="Times New Roman"/>
                <w:color w:val="000000"/>
                <w:lang w:eastAsia="ru-RU"/>
              </w:rPr>
              <w:t>0</w:t>
            </w:r>
          </w:p>
        </w:tc>
      </w:tr>
      <w:tr w:rsidR="006A785B" w:rsidRPr="009A3329" w:rsidTr="00201186">
        <w:trPr>
          <w:trHeight w:val="307"/>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115063"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321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Общество с ограниченной ответственностью «Волжское»</w:t>
            </w:r>
          </w:p>
        </w:tc>
        <w:tc>
          <w:tcPr>
            <w:tcW w:w="1276"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Деятельность ботанических садов, заповедников</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Безенчукский</w:t>
            </w:r>
          </w:p>
        </w:tc>
        <w:tc>
          <w:tcPr>
            <w:tcW w:w="1701"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bl>
    <w:p w:rsidR="00ED1B95" w:rsidRPr="0074692C" w:rsidRDefault="00ED1B95" w:rsidP="006A785B">
      <w:pPr>
        <w:ind w:firstLine="0"/>
        <w:jc w:val="both"/>
        <w:rPr>
          <w:rFonts w:ascii="Times New Roman" w:eastAsia="Times New Roman" w:hAnsi="Times New Roman"/>
          <w:sz w:val="28"/>
          <w:szCs w:val="28"/>
          <w:lang w:eastAsia="ru-RU"/>
        </w:rPr>
      </w:pPr>
    </w:p>
    <w:sectPr w:rsidR="00ED1B95" w:rsidRPr="0074692C" w:rsidSect="006A785B">
      <w:headerReference w:type="default" r:id="rId8"/>
      <w:pgSz w:w="16838" w:h="11906" w:orient="landscape"/>
      <w:pgMar w:top="102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75E" w:rsidRDefault="00AF575E" w:rsidP="003936B6">
      <w:r>
        <w:separator/>
      </w:r>
    </w:p>
  </w:endnote>
  <w:endnote w:type="continuationSeparator" w:id="0">
    <w:p w:rsidR="00AF575E" w:rsidRDefault="00AF575E" w:rsidP="003936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75E" w:rsidRDefault="00AF575E" w:rsidP="003936B6">
      <w:r>
        <w:separator/>
      </w:r>
    </w:p>
  </w:footnote>
  <w:footnote w:type="continuationSeparator" w:id="0">
    <w:p w:rsidR="00AF575E" w:rsidRDefault="00AF575E" w:rsidP="00393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078377"/>
      <w:docPartObj>
        <w:docPartGallery w:val="Page Numbers (Top of Page)"/>
        <w:docPartUnique/>
      </w:docPartObj>
    </w:sdtPr>
    <w:sdtEndPr>
      <w:rPr>
        <w:rFonts w:ascii="Times New Roman" w:hAnsi="Times New Roman"/>
        <w:sz w:val="24"/>
        <w:szCs w:val="24"/>
      </w:rPr>
    </w:sdtEndPr>
    <w:sdtContent>
      <w:p w:rsidR="00F5740D" w:rsidRPr="004D6086" w:rsidRDefault="00D93E97"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00F5740D"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115063">
          <w:rPr>
            <w:rFonts w:ascii="Times New Roman" w:hAnsi="Times New Roman"/>
            <w:noProof/>
            <w:sz w:val="24"/>
            <w:szCs w:val="24"/>
          </w:rPr>
          <w:t>11</w:t>
        </w:r>
        <w:r w:rsidRPr="004D6086">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6061"/>
    <w:rsid w:val="000125DE"/>
    <w:rsid w:val="00014AA4"/>
    <w:rsid w:val="000153DD"/>
    <w:rsid w:val="00017107"/>
    <w:rsid w:val="00025A5B"/>
    <w:rsid w:val="000268C9"/>
    <w:rsid w:val="00032186"/>
    <w:rsid w:val="00032DAE"/>
    <w:rsid w:val="00035478"/>
    <w:rsid w:val="00036819"/>
    <w:rsid w:val="0004133E"/>
    <w:rsid w:val="00046394"/>
    <w:rsid w:val="000505CD"/>
    <w:rsid w:val="00067324"/>
    <w:rsid w:val="00072E95"/>
    <w:rsid w:val="00075B0E"/>
    <w:rsid w:val="00076607"/>
    <w:rsid w:val="00080615"/>
    <w:rsid w:val="000816F4"/>
    <w:rsid w:val="000855BD"/>
    <w:rsid w:val="00091B67"/>
    <w:rsid w:val="000A752B"/>
    <w:rsid w:val="000B3C43"/>
    <w:rsid w:val="000C03A5"/>
    <w:rsid w:val="000C5301"/>
    <w:rsid w:val="000C7AFA"/>
    <w:rsid w:val="000E6513"/>
    <w:rsid w:val="000E7B23"/>
    <w:rsid w:val="000F0CF1"/>
    <w:rsid w:val="000F183E"/>
    <w:rsid w:val="000F1C22"/>
    <w:rsid w:val="000F6275"/>
    <w:rsid w:val="00110B61"/>
    <w:rsid w:val="00111EDC"/>
    <w:rsid w:val="00115063"/>
    <w:rsid w:val="0011533D"/>
    <w:rsid w:val="001162A8"/>
    <w:rsid w:val="00124542"/>
    <w:rsid w:val="0012472F"/>
    <w:rsid w:val="00126645"/>
    <w:rsid w:val="0012781C"/>
    <w:rsid w:val="00127F3A"/>
    <w:rsid w:val="00130A93"/>
    <w:rsid w:val="001313C9"/>
    <w:rsid w:val="001314DF"/>
    <w:rsid w:val="00131D42"/>
    <w:rsid w:val="0013354D"/>
    <w:rsid w:val="001411A8"/>
    <w:rsid w:val="001451E2"/>
    <w:rsid w:val="001515EE"/>
    <w:rsid w:val="00152B92"/>
    <w:rsid w:val="0015778F"/>
    <w:rsid w:val="001603B6"/>
    <w:rsid w:val="00161E97"/>
    <w:rsid w:val="0016284F"/>
    <w:rsid w:val="00163D92"/>
    <w:rsid w:val="00166B2A"/>
    <w:rsid w:val="001719EF"/>
    <w:rsid w:val="0017219E"/>
    <w:rsid w:val="00172901"/>
    <w:rsid w:val="00183E8F"/>
    <w:rsid w:val="0018440A"/>
    <w:rsid w:val="001852A1"/>
    <w:rsid w:val="0019064B"/>
    <w:rsid w:val="001934EB"/>
    <w:rsid w:val="00194AAA"/>
    <w:rsid w:val="00197F0E"/>
    <w:rsid w:val="001A1B84"/>
    <w:rsid w:val="001A6341"/>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51A2"/>
    <w:rsid w:val="00243A45"/>
    <w:rsid w:val="00251D9A"/>
    <w:rsid w:val="0026560E"/>
    <w:rsid w:val="0027083D"/>
    <w:rsid w:val="00271D14"/>
    <w:rsid w:val="002739D9"/>
    <w:rsid w:val="00274966"/>
    <w:rsid w:val="00283E2F"/>
    <w:rsid w:val="00285BBB"/>
    <w:rsid w:val="00292B43"/>
    <w:rsid w:val="0029360B"/>
    <w:rsid w:val="002A00D4"/>
    <w:rsid w:val="002B77A8"/>
    <w:rsid w:val="002C1BF6"/>
    <w:rsid w:val="002C6A78"/>
    <w:rsid w:val="002C6E01"/>
    <w:rsid w:val="002C7259"/>
    <w:rsid w:val="002C7F07"/>
    <w:rsid w:val="002D0CA1"/>
    <w:rsid w:val="002D359A"/>
    <w:rsid w:val="002D3DAD"/>
    <w:rsid w:val="002E04B2"/>
    <w:rsid w:val="002E2E1A"/>
    <w:rsid w:val="002F0459"/>
    <w:rsid w:val="002F22DA"/>
    <w:rsid w:val="002F2D63"/>
    <w:rsid w:val="002F2F13"/>
    <w:rsid w:val="002F7308"/>
    <w:rsid w:val="0030348B"/>
    <w:rsid w:val="00310A35"/>
    <w:rsid w:val="00310DEB"/>
    <w:rsid w:val="003142EA"/>
    <w:rsid w:val="0031635C"/>
    <w:rsid w:val="003174D6"/>
    <w:rsid w:val="0032080F"/>
    <w:rsid w:val="00325E88"/>
    <w:rsid w:val="00332490"/>
    <w:rsid w:val="00337D0A"/>
    <w:rsid w:val="0034344B"/>
    <w:rsid w:val="003438F0"/>
    <w:rsid w:val="0034484A"/>
    <w:rsid w:val="003467C9"/>
    <w:rsid w:val="00366525"/>
    <w:rsid w:val="003711EF"/>
    <w:rsid w:val="00377039"/>
    <w:rsid w:val="003806EC"/>
    <w:rsid w:val="00382E13"/>
    <w:rsid w:val="003936B6"/>
    <w:rsid w:val="003A274A"/>
    <w:rsid w:val="003A6785"/>
    <w:rsid w:val="003C75F0"/>
    <w:rsid w:val="003D06C8"/>
    <w:rsid w:val="003D2F9D"/>
    <w:rsid w:val="003D3162"/>
    <w:rsid w:val="003F04C3"/>
    <w:rsid w:val="003F0933"/>
    <w:rsid w:val="003F3537"/>
    <w:rsid w:val="003F7EC1"/>
    <w:rsid w:val="00402680"/>
    <w:rsid w:val="00403442"/>
    <w:rsid w:val="00413B8A"/>
    <w:rsid w:val="00413C2C"/>
    <w:rsid w:val="00423E54"/>
    <w:rsid w:val="00425E2B"/>
    <w:rsid w:val="00432273"/>
    <w:rsid w:val="004354EC"/>
    <w:rsid w:val="004364DE"/>
    <w:rsid w:val="0044055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6A91"/>
    <w:rsid w:val="004B3BAB"/>
    <w:rsid w:val="004B739D"/>
    <w:rsid w:val="004C0081"/>
    <w:rsid w:val="004C0AEB"/>
    <w:rsid w:val="004C2A1B"/>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67DA"/>
    <w:rsid w:val="006019D2"/>
    <w:rsid w:val="006138DC"/>
    <w:rsid w:val="00623C54"/>
    <w:rsid w:val="00625E19"/>
    <w:rsid w:val="00627EBF"/>
    <w:rsid w:val="00636F40"/>
    <w:rsid w:val="006448A7"/>
    <w:rsid w:val="00653DC7"/>
    <w:rsid w:val="00654A6E"/>
    <w:rsid w:val="00656FC6"/>
    <w:rsid w:val="0066321E"/>
    <w:rsid w:val="00665BFD"/>
    <w:rsid w:val="00683B38"/>
    <w:rsid w:val="006A785B"/>
    <w:rsid w:val="006B0286"/>
    <w:rsid w:val="006B5441"/>
    <w:rsid w:val="006C0B1A"/>
    <w:rsid w:val="006C0C1A"/>
    <w:rsid w:val="006C16B1"/>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57F"/>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E1D3B"/>
    <w:rsid w:val="007E2BA1"/>
    <w:rsid w:val="007E2C7C"/>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57F27"/>
    <w:rsid w:val="00863984"/>
    <w:rsid w:val="00866745"/>
    <w:rsid w:val="00867178"/>
    <w:rsid w:val="00876551"/>
    <w:rsid w:val="0088035A"/>
    <w:rsid w:val="0088257B"/>
    <w:rsid w:val="00882824"/>
    <w:rsid w:val="00887418"/>
    <w:rsid w:val="00890036"/>
    <w:rsid w:val="008915B1"/>
    <w:rsid w:val="008948C6"/>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3329"/>
    <w:rsid w:val="009B0F64"/>
    <w:rsid w:val="009C077B"/>
    <w:rsid w:val="009C495F"/>
    <w:rsid w:val="009D5FA9"/>
    <w:rsid w:val="009F09A2"/>
    <w:rsid w:val="009F6DED"/>
    <w:rsid w:val="00A02F34"/>
    <w:rsid w:val="00A1129A"/>
    <w:rsid w:val="00A11BDD"/>
    <w:rsid w:val="00A141B6"/>
    <w:rsid w:val="00A1465B"/>
    <w:rsid w:val="00A22270"/>
    <w:rsid w:val="00A23C24"/>
    <w:rsid w:val="00A2733A"/>
    <w:rsid w:val="00A34178"/>
    <w:rsid w:val="00A374E4"/>
    <w:rsid w:val="00A405A8"/>
    <w:rsid w:val="00A426F5"/>
    <w:rsid w:val="00A477DF"/>
    <w:rsid w:val="00A54DC8"/>
    <w:rsid w:val="00A5757D"/>
    <w:rsid w:val="00A652FE"/>
    <w:rsid w:val="00A70B1C"/>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F0888"/>
    <w:rsid w:val="00AF575E"/>
    <w:rsid w:val="00B02787"/>
    <w:rsid w:val="00B03F87"/>
    <w:rsid w:val="00B30773"/>
    <w:rsid w:val="00B40102"/>
    <w:rsid w:val="00B40D6B"/>
    <w:rsid w:val="00B42535"/>
    <w:rsid w:val="00B5604B"/>
    <w:rsid w:val="00B57905"/>
    <w:rsid w:val="00B62D00"/>
    <w:rsid w:val="00B63F44"/>
    <w:rsid w:val="00B72603"/>
    <w:rsid w:val="00B75936"/>
    <w:rsid w:val="00B7734D"/>
    <w:rsid w:val="00B801A8"/>
    <w:rsid w:val="00B80EF3"/>
    <w:rsid w:val="00B823EC"/>
    <w:rsid w:val="00B96D4C"/>
    <w:rsid w:val="00B97FB6"/>
    <w:rsid w:val="00BB04F5"/>
    <w:rsid w:val="00BB1021"/>
    <w:rsid w:val="00BB3DC7"/>
    <w:rsid w:val="00BB3DDC"/>
    <w:rsid w:val="00BB3FAF"/>
    <w:rsid w:val="00BB653E"/>
    <w:rsid w:val="00BD28BC"/>
    <w:rsid w:val="00BD2A2E"/>
    <w:rsid w:val="00BD2C90"/>
    <w:rsid w:val="00BD4229"/>
    <w:rsid w:val="00BE3EA2"/>
    <w:rsid w:val="00BF32AC"/>
    <w:rsid w:val="00C021C5"/>
    <w:rsid w:val="00C1284A"/>
    <w:rsid w:val="00C229A3"/>
    <w:rsid w:val="00C22AE3"/>
    <w:rsid w:val="00C30ED0"/>
    <w:rsid w:val="00C35469"/>
    <w:rsid w:val="00C42EE7"/>
    <w:rsid w:val="00C43D54"/>
    <w:rsid w:val="00C440B4"/>
    <w:rsid w:val="00C53372"/>
    <w:rsid w:val="00C5712F"/>
    <w:rsid w:val="00C640AB"/>
    <w:rsid w:val="00C64B82"/>
    <w:rsid w:val="00C70277"/>
    <w:rsid w:val="00C737B2"/>
    <w:rsid w:val="00C741ED"/>
    <w:rsid w:val="00C76DC6"/>
    <w:rsid w:val="00C84583"/>
    <w:rsid w:val="00C8549E"/>
    <w:rsid w:val="00C91063"/>
    <w:rsid w:val="00CA3DFF"/>
    <w:rsid w:val="00CA3F85"/>
    <w:rsid w:val="00CA4631"/>
    <w:rsid w:val="00CA6C0A"/>
    <w:rsid w:val="00CA6D24"/>
    <w:rsid w:val="00CB567A"/>
    <w:rsid w:val="00CC1941"/>
    <w:rsid w:val="00CD1AA6"/>
    <w:rsid w:val="00CF74B0"/>
    <w:rsid w:val="00D11B93"/>
    <w:rsid w:val="00D13B2F"/>
    <w:rsid w:val="00D23E5B"/>
    <w:rsid w:val="00D352C1"/>
    <w:rsid w:val="00D45F43"/>
    <w:rsid w:val="00D51370"/>
    <w:rsid w:val="00D53D9A"/>
    <w:rsid w:val="00D5794F"/>
    <w:rsid w:val="00D662BA"/>
    <w:rsid w:val="00D82827"/>
    <w:rsid w:val="00D93E97"/>
    <w:rsid w:val="00D959AF"/>
    <w:rsid w:val="00D95AC1"/>
    <w:rsid w:val="00D97FE7"/>
    <w:rsid w:val="00DA19CA"/>
    <w:rsid w:val="00DA2A42"/>
    <w:rsid w:val="00DA2B7B"/>
    <w:rsid w:val="00DA420A"/>
    <w:rsid w:val="00DA5AF4"/>
    <w:rsid w:val="00DB6D37"/>
    <w:rsid w:val="00DC19EC"/>
    <w:rsid w:val="00DC5CBD"/>
    <w:rsid w:val="00DD041D"/>
    <w:rsid w:val="00DD2D5E"/>
    <w:rsid w:val="00DD3526"/>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9A3329"/>
    <w:rPr>
      <w:rFonts w:ascii="Cambria" w:eastAsia="Times New Roman" w:hAnsi="Cambria" w:cs="Times New Roman"/>
      <w:b/>
      <w:bCs/>
      <w:sz w:val="26"/>
      <w:szCs w:val="26"/>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rPr>
  </w:style>
  <w:style w:type="character" w:customStyle="1" w:styleId="afe">
    <w:name w:val="Текст письма Знак"/>
    <w:link w:val="afd"/>
    <w:rsid w:val="009A3329"/>
    <w:rPr>
      <w:rFonts w:ascii="Times New Roman" w:eastAsia="Times New Roman" w:hAnsi="Times New Roman" w:cs="Times New Roman"/>
      <w:sz w:val="28"/>
      <w:szCs w:val="28"/>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style>
  <w:style w:type="character" w:customStyle="1" w:styleId="29">
    <w:name w:val="Основной текст 2 Знак"/>
    <w:basedOn w:val="a0"/>
    <w:link w:val="28"/>
    <w:uiPriority w:val="99"/>
    <w:semiHidden/>
    <w:rsid w:val="009A3329"/>
    <w:rPr>
      <w:rFonts w:ascii="Calibri" w:eastAsia="Calibri" w:hAnsi="Calibri" w:cs="Times New Roman"/>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EA78-6E3D-4275-9BDC-B74CD391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user</cp:lastModifiedBy>
  <cp:revision>5</cp:revision>
  <cp:lastPrinted>2021-03-25T12:19:00Z</cp:lastPrinted>
  <dcterms:created xsi:type="dcterms:W3CDTF">2021-03-26T10:03:00Z</dcterms:created>
  <dcterms:modified xsi:type="dcterms:W3CDTF">2021-03-26T10:15:00Z</dcterms:modified>
</cp:coreProperties>
</file>